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DOUTO JUÍZO DA 50ª VARA DO TRABALHO DA COMARCA JOÃO PESSOA - PB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CLT - 651</w:t>
      </w:r>
    </w:p>
    <w:p w:rsidR="00000000" w:rsidDel="00000000" w:rsidP="00000000" w:rsidRDefault="00000000" w:rsidRPr="00000000" w14:paraId="00000004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  <w:t xml:space="preserve">PROCESSO Nº 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RECLAMADA</w:t>
      </w:r>
      <w:r w:rsidDel="00000000" w:rsidR="00000000" w:rsidRPr="00000000">
        <w:rPr>
          <w:b w:val="1"/>
          <w:sz w:val="24"/>
          <w:szCs w:val="24"/>
          <w:rtl w:val="0"/>
        </w:rPr>
        <w:t xml:space="preserve"> Sociedade Empresária Lotérica Alfa LTDA</w:t>
      </w:r>
      <w:r w:rsidDel="00000000" w:rsidR="00000000" w:rsidRPr="00000000">
        <w:rPr>
          <w:sz w:val="24"/>
          <w:szCs w:val="24"/>
          <w:rtl w:val="0"/>
        </w:rPr>
        <w:t xml:space="preserve">, pessoa de direito privado, inscrita no CNPJ nº() com sede situada à Rua(), nº(), bairro(), CEP(), no município de João Pessoa Capital do Estado da Paraíba, Email comercial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loté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rica@administracao.com</w:t>
        </w:r>
      </w:hyperlink>
      <w:r w:rsidDel="00000000" w:rsidR="00000000" w:rsidRPr="00000000">
        <w:rPr>
          <w:sz w:val="24"/>
          <w:szCs w:val="24"/>
          <w:rtl w:val="0"/>
        </w:rPr>
        <w:t xml:space="preserve">, representada pelo Sócio, (Fulano) CPFnº(), com carteira de identidade RG nº (), endereço eletrônico </w:t>
      </w:r>
      <w:r w:rsidDel="00000000" w:rsidR="00000000" w:rsidRPr="00000000">
        <w:rPr>
          <w:color w:val="4a86e8"/>
          <w:sz w:val="24"/>
          <w:szCs w:val="24"/>
          <w:rtl w:val="0"/>
        </w:rPr>
        <w:t xml:space="preserve">fulano</w:t>
      </w:r>
      <w:hyperlink r:id="rId7">
        <w:r w:rsidDel="00000000" w:rsidR="00000000" w:rsidRPr="00000000">
          <w:rPr>
            <w:color w:val="4a86e8"/>
            <w:sz w:val="24"/>
            <w:szCs w:val="24"/>
            <w:u w:val="single"/>
            <w:rtl w:val="0"/>
          </w:rPr>
          <w:t xml:space="preserve">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, residente e domiciliado à Rua(o), nº(), bairro(), CEP(o), na cidade de () UF (), por intermédio do seu advogado infra-assinado,  com fundamento no artigo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847 da CLT</w:t>
      </w:r>
      <w:r w:rsidDel="00000000" w:rsidR="00000000" w:rsidRPr="00000000">
        <w:rPr>
          <w:sz w:val="24"/>
          <w:szCs w:val="24"/>
          <w:rtl w:val="0"/>
        </w:rPr>
        <w:t xml:space="preserve">, vem, à presença de VOSSA EXCELÊNCIA, oferecer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spacing w:line="240" w:lineRule="auto"/>
        <w:jc w:val="both"/>
        <w:rPr/>
      </w:pPr>
      <w:bookmarkStart w:colFirst="0" w:colLast="0" w:name="_1h27t1nsp7s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spacing w:line="240" w:lineRule="auto"/>
        <w:jc w:val="center"/>
        <w:rPr/>
      </w:pPr>
      <w:bookmarkStart w:colFirst="0" w:colLast="0" w:name="_a6kohj1uhz6a" w:id="1"/>
      <w:bookmarkEnd w:id="1"/>
      <w:r w:rsidDel="00000000" w:rsidR="00000000" w:rsidRPr="00000000">
        <w:rPr>
          <w:rtl w:val="0"/>
        </w:rPr>
        <w:t xml:space="preserve">Contestação</w:t>
      </w:r>
    </w:p>
    <w:p w:rsidR="00000000" w:rsidDel="00000000" w:rsidP="00000000" w:rsidRDefault="00000000" w:rsidRPr="00000000" w14:paraId="00000016">
      <w:pPr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em face de reclamatória ajuizada por,</w:t>
      </w:r>
    </w:p>
    <w:p w:rsidR="00000000" w:rsidDel="00000000" w:rsidP="00000000" w:rsidRDefault="00000000" w:rsidRPr="00000000" w14:paraId="0000001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RECLAMANTE,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Hamilton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estado civil(), brasileiro, </w:t>
      </w:r>
      <w:r w:rsidDel="00000000" w:rsidR="00000000" w:rsidRPr="00000000">
        <w:rPr>
          <w:sz w:val="24"/>
          <w:szCs w:val="24"/>
          <w:shd w:fill="fff2cc" w:val="clear"/>
          <w:rtl w:val="0"/>
        </w:rPr>
        <w:t xml:space="preserve">Operador de caixa Lotérico</w:t>
      </w:r>
      <w:r w:rsidDel="00000000" w:rsidR="00000000" w:rsidRPr="00000000">
        <w:rPr>
          <w:sz w:val="24"/>
          <w:szCs w:val="24"/>
          <w:rtl w:val="0"/>
        </w:rPr>
        <w:t xml:space="preserve">, filho de Dnª(), nascido em (), portador do CPF(), com carteira de identidade RG nº ()com o número de PIS nº(), com CTPS, nº(), endereço eletrônico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hamilton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@pedreiro.com</w:t>
        </w:r>
      </w:hyperlink>
      <w:r w:rsidDel="00000000" w:rsidR="00000000" w:rsidRPr="00000000">
        <w:rPr>
          <w:sz w:val="24"/>
          <w:szCs w:val="24"/>
          <w:rtl w:val="0"/>
        </w:rPr>
        <w:t xml:space="preserve">, residente e domiciliado à Rua(), nº(), bairro(), CEP), no município de 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7qd65jr2lu21" w:id="2"/>
      <w:bookmarkEnd w:id="2"/>
      <w:r w:rsidDel="00000000" w:rsidR="00000000" w:rsidRPr="00000000">
        <w:rPr>
          <w:rtl w:val="0"/>
        </w:rPr>
        <w:t xml:space="preserve">Preliminar de Mérito</w:t>
      </w:r>
    </w:p>
    <w:p w:rsidR="00000000" w:rsidDel="00000000" w:rsidP="00000000" w:rsidRDefault="00000000" w:rsidRPr="00000000" w14:paraId="0000001E">
      <w:pPr>
        <w:pStyle w:val="Subtitle"/>
        <w:rPr/>
      </w:pPr>
      <w:bookmarkStart w:colFirst="0" w:colLast="0" w:name="_91cnocamhwep" w:id="3"/>
      <w:bookmarkEnd w:id="3"/>
      <w:r w:rsidDel="00000000" w:rsidR="00000000" w:rsidRPr="00000000">
        <w:rPr>
          <w:rtl w:val="0"/>
        </w:rPr>
        <w:t xml:space="preserve">Inépcia da Petição Inicial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Conforme solicitado pelo RECLAMANTE, o pedido ao pagamento de horas extraordinários é, em verdade, incabível, pois (1)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Casa Lotérica somente atua em horários comerciais</w:t>
      </w:r>
      <w:r w:rsidDel="00000000" w:rsidR="00000000" w:rsidRPr="00000000">
        <w:rPr>
          <w:sz w:val="24"/>
          <w:szCs w:val="24"/>
          <w:rtl w:val="0"/>
        </w:rPr>
        <w:t xml:space="preserve">, (2) não delegou ordem de sobreaviso, e obviamente, (3) tão pouco prova o autor a suas alegações.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 pagamento de tal verba está prevista nos casos em que o funcionário permanece a disposição do empregador, ficando este de sobreaviso, podendo ser requisitado a qualquer momento. Ou seja, no caso em concreto, restou claro EXCELÊNCIA, que não há causa de pedir.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Diante do exposto, </w:t>
      </w:r>
      <w:r w:rsidDel="00000000" w:rsidR="00000000" w:rsidRPr="00000000">
        <w:rPr>
          <w:sz w:val="24"/>
          <w:szCs w:val="24"/>
          <w:rtl w:val="0"/>
        </w:rPr>
        <w:t xml:space="preserve">não assiste direito ao RECLAMANTE, o pedido apenas viola a norma de regência Art 330, §1º, I e Art. 485, I, ambos do NCPC</w:t>
      </w:r>
    </w:p>
    <w:p w:rsidR="00000000" w:rsidDel="00000000" w:rsidP="00000000" w:rsidRDefault="00000000" w:rsidRPr="00000000" w14:paraId="00000024">
      <w:pPr>
        <w:spacing w:after="200" w:before="200" w:lineRule="auto"/>
        <w:ind w:left="720" w:firstLine="5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Art. 330. A petição inicial será indeferida quando: § 1º Considera-se inepta a petição inicial quando: I - lhe faltar pedido ou causa de pedir; Art. 485. O juiz não resolverá o mérito quando: I - indeferir a petição inicial;</w:t>
      </w:r>
    </w:p>
    <w:p w:rsidR="00000000" w:rsidDel="00000000" w:rsidP="00000000" w:rsidRDefault="00000000" w:rsidRPr="00000000" w14:paraId="00000025">
      <w:pPr>
        <w:spacing w:after="200" w:before="20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jc w:val="both"/>
        <w:rPr/>
      </w:pPr>
      <w:bookmarkStart w:colFirst="0" w:colLast="0" w:name="_efa1pzyr7tdh" w:id="4"/>
      <w:bookmarkEnd w:id="4"/>
      <w:r w:rsidDel="00000000" w:rsidR="00000000" w:rsidRPr="00000000">
        <w:rPr>
          <w:rtl w:val="0"/>
        </w:rPr>
        <w:t xml:space="preserve">Prejudicial de Mérito</w:t>
      </w:r>
    </w:p>
    <w:p w:rsidR="00000000" w:rsidDel="00000000" w:rsidP="00000000" w:rsidRDefault="00000000" w:rsidRPr="00000000" w14:paraId="00000027">
      <w:pPr>
        <w:pStyle w:val="Subtitle"/>
        <w:jc w:val="both"/>
        <w:rPr/>
      </w:pPr>
      <w:bookmarkStart w:colFirst="0" w:colLast="0" w:name="_yuvzmp1qo9j6" w:id="5"/>
      <w:bookmarkEnd w:id="5"/>
      <w:r w:rsidDel="00000000" w:rsidR="00000000" w:rsidRPr="00000000">
        <w:rPr>
          <w:rtl w:val="0"/>
        </w:rPr>
        <w:t xml:space="preserve">Prescrição Quinquenal</w:t>
      </w:r>
    </w:p>
    <w:p w:rsidR="00000000" w:rsidDel="00000000" w:rsidP="00000000" w:rsidRDefault="00000000" w:rsidRPr="00000000" w14:paraId="00000028">
      <w:pPr>
        <w:ind w:left="0" w:firstLine="0"/>
        <w:jc w:val="both"/>
        <w:rPr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 pretensão de créditos trabalhistas têm prazo prescricional de 5 (cinco) anos. A Constituição Federal, Art. 7º, XXIX, bem como previsto em igual teor pela CLT Art. 11,“</w:t>
      </w:r>
      <w:r w:rsidDel="00000000" w:rsidR="00000000" w:rsidRPr="00000000">
        <w:rPr>
          <w:highlight w:val="white"/>
          <w:rtl w:val="0"/>
        </w:rPr>
        <w:t xml:space="preserve"> quanto a créditos resultantes das relações de trabalho prescreve em cinco anos para os trabalhadores urbanos e rurais, até o limite de dois anos após a extinção do contrato de trabalho.”</w:t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Ademais, a Súmula 308 do TST consolida o entendimento sobre o prazo quinquenal.</w:t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44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PRESCRIÇÃO QÜINQÜENAL (incorporada a Orientação Jurisprudencial nº 204 da SBDI-1) - Res. 129/2005, DJ 20, 22 e 25.04.2005</w:t>
      </w:r>
    </w:p>
    <w:p w:rsidR="00000000" w:rsidDel="00000000" w:rsidP="00000000" w:rsidRDefault="00000000" w:rsidRPr="00000000" w14:paraId="0000002D">
      <w:pPr>
        <w:spacing w:before="60" w:lineRule="auto"/>
        <w:ind w:left="1440" w:firstLine="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I. Respeitado o biênio subseqüente à cessação contratual, a prescrição da ação trabalhista concerne às pretensões imediatamente anteriores a cinco anos, contados da data do ajuizamento da reclamação e, não, às anteriores ao qüinqüênio da data da extinção do contrato. (ex-OJ nº 204 da SBDI-1 - inserida em 08.11.2000)</w:t>
      </w:r>
    </w:p>
    <w:p w:rsidR="00000000" w:rsidDel="00000000" w:rsidP="00000000" w:rsidRDefault="00000000" w:rsidRPr="00000000" w14:paraId="0000002E">
      <w:pPr>
        <w:spacing w:before="60" w:lineRule="auto"/>
        <w:ind w:left="1440" w:firstLine="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II. A norma constitucional que ampliou o prazo de prescrição da ação trabalhista para 5 (cinco) anos é de aplicação imediata e não atinge pretensões já alcançadas pela prescrição bienal quando da promulgação da CF/1988.</w:t>
      </w:r>
    </w:p>
    <w:p w:rsidR="00000000" w:rsidDel="00000000" w:rsidP="00000000" w:rsidRDefault="00000000" w:rsidRPr="00000000" w14:paraId="0000002F">
      <w:pPr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Dessa forma, com base no Art. 487, II do CPC, pede-se à Vossa EXCELÊNCIA, a extinção do processo com resolução de mérito, quanto às verbas anteriores aos últimos 5 (cinco) anos, contadas da data do ajuizamento datado em 30/04/2013.</w:t>
      </w:r>
    </w:p>
    <w:p w:rsidR="00000000" w:rsidDel="00000000" w:rsidP="00000000" w:rsidRDefault="00000000" w:rsidRPr="00000000" w14:paraId="0000003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rPr>
          <w:highlight w:val="white"/>
        </w:rPr>
      </w:pPr>
      <w:bookmarkStart w:colFirst="0" w:colLast="0" w:name="_slryr1uajxub" w:id="6"/>
      <w:bookmarkEnd w:id="6"/>
      <w:r w:rsidDel="00000000" w:rsidR="00000000" w:rsidRPr="00000000">
        <w:rPr>
          <w:highlight w:val="white"/>
          <w:rtl w:val="0"/>
        </w:rPr>
        <w:t xml:space="preserve">Mérito</w:t>
      </w:r>
    </w:p>
    <w:p w:rsidR="00000000" w:rsidDel="00000000" w:rsidP="00000000" w:rsidRDefault="00000000" w:rsidRPr="00000000" w14:paraId="00000034">
      <w:pPr>
        <w:pStyle w:val="Subtitle"/>
        <w:rPr/>
      </w:pPr>
      <w:bookmarkStart w:colFirst="0" w:colLast="0" w:name="_wx1v79yyvpa4" w:id="7"/>
      <w:bookmarkEnd w:id="7"/>
      <w:r w:rsidDel="00000000" w:rsidR="00000000" w:rsidRPr="00000000">
        <w:rPr>
          <w:rtl w:val="0"/>
        </w:rPr>
        <w:t xml:space="preserve">Adicional de Periculosidade</w:t>
      </w:r>
    </w:p>
    <w:p w:rsidR="00000000" w:rsidDel="00000000" w:rsidP="00000000" w:rsidRDefault="00000000" w:rsidRPr="00000000" w14:paraId="00000035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pedido realizado pelo RECLAMANTE quanto ao adicional de periculosidade, é repetidamente indevido.</w:t>
      </w:r>
    </w:p>
    <w:p w:rsidR="00000000" w:rsidDel="00000000" w:rsidP="00000000" w:rsidRDefault="00000000" w:rsidRPr="00000000" w14:paraId="00000036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adicional de periculosidade é concedido legalmente àqueles que exercem função na qual o trabalhador está eminentemente exposto a risco de acidente por conta da atividade laboral. No caso, o RECLAMANTE, apenas passava apenas alguns minutos no local e não permanecia exposto ao risco.</w:t>
      </w:r>
    </w:p>
    <w:p w:rsidR="00000000" w:rsidDel="00000000" w:rsidP="00000000" w:rsidRDefault="00000000" w:rsidRPr="00000000" w14:paraId="00000038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Súmula 364, I do TST determina que “Tem direito ao adicional de periculosidade o empregado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exposto permanentemente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ou que, de forma intermitente, sujeita-se a condições de risco. Indevido, apenas, quando o contato dá-se de forma eventual, assim considerado o fortuito, ou o que, sendo habitual, dá-se por tempo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extremamente reduzido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“</w:t>
      </w:r>
    </w:p>
    <w:p w:rsidR="00000000" w:rsidDel="00000000" w:rsidP="00000000" w:rsidRDefault="00000000" w:rsidRPr="00000000" w14:paraId="0000003A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Além disso, a CLT </w:t>
      </w:r>
      <w:r w:rsidDel="00000000" w:rsidR="00000000" w:rsidRPr="00000000">
        <w:rPr>
          <w:sz w:val="24"/>
          <w:szCs w:val="24"/>
          <w:rtl w:val="0"/>
        </w:rPr>
        <w:t xml:space="preserve">no Art. 193, determina as atividades consideradas perigosas, o que não incide no caso em concreto.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Dessa forma, pede-se à </w:t>
      </w:r>
      <w:r w:rsidDel="00000000" w:rsidR="00000000" w:rsidRPr="00000000">
        <w:rPr>
          <w:sz w:val="24"/>
          <w:szCs w:val="24"/>
          <w:rtl w:val="0"/>
        </w:rPr>
        <w:t xml:space="preserve">Vossa EXCELÊNCIA, o indeferimento do pedido pedido, com a resolução do mérito, nos moldes do Art. 487, inciso I do CPC.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Subtitle"/>
        <w:jc w:val="both"/>
        <w:rPr/>
      </w:pPr>
      <w:bookmarkStart w:colFirst="0" w:colLast="0" w:name="_r6gytxu2k1b2" w:id="8"/>
      <w:bookmarkEnd w:id="8"/>
      <w:r w:rsidDel="00000000" w:rsidR="00000000" w:rsidRPr="00000000">
        <w:rPr>
          <w:rtl w:val="0"/>
        </w:rPr>
        <w:t xml:space="preserve">Atividade Não Bancária</w:t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O RECLAMANTE, exaustivamente, realiza pedido sem causa de pedir. Não incide no caso em concreto, qualquer analogia quanto a atividade bancária alegada pelo autor, uma vez que as atividades exercidas nas casas lotéricas não são consideradas análogas às bancárias.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Dessa maneira, não faz jus ao aos benefícios da categoria com base no Art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511 CLT. Sendo assim,  pede-se à </w:t>
      </w:r>
      <w:r w:rsidDel="00000000" w:rsidR="00000000" w:rsidRPr="00000000">
        <w:rPr>
          <w:sz w:val="24"/>
          <w:szCs w:val="24"/>
          <w:rtl w:val="0"/>
        </w:rPr>
        <w:t xml:space="preserve">Vossa EXCELÊNCIA, o indeferimento do pedido sem qualquer fundamento de causa, bem como a resolução do mérito, nos moldes do Art. 487, inciso I do CPC.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Subtitle"/>
        <w:rPr/>
      </w:pPr>
      <w:bookmarkStart w:colFirst="0" w:colLast="0" w:name="_6r2pc2v314at" w:id="9"/>
      <w:bookmarkEnd w:id="9"/>
      <w:r w:rsidDel="00000000" w:rsidR="00000000" w:rsidRPr="00000000">
        <w:rPr>
          <w:rtl w:val="0"/>
        </w:rPr>
        <w:t xml:space="preserve">Reintegração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ab/>
        <w:t xml:space="preserve">O Autor </w:t>
      </w:r>
      <w:r w:rsidDel="00000000" w:rsidR="00000000" w:rsidRPr="00000000">
        <w:rPr>
          <w:sz w:val="24"/>
          <w:szCs w:val="24"/>
          <w:rtl w:val="0"/>
        </w:rPr>
        <w:t xml:space="preserve">,duas semanas após receber o aviso prévio, decidiu inscrever-se numa chapa como candidato a presidente do sindicato dos empregados em lotéricas, para lutar por melhorias para a sua categoria.</w:t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Conforme entendimento consolidado pelo TST, especificamente pela Súmula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369, V do TST , não há que se falar em estabilidade, uma vez que a candidatura ocorreu durante o aviso prévio.</w:t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440" w:firstLine="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O registro da candidatura do empregado a cargo de dirigente sindical durante o período de aviso prévio, ainda que indenizado, não lhe assegura a estabilidade, visto que inaplicável a regra do § 3º do art. 543 da Consolidação das Leis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Diante do exposto, requer a extinção do pedido de reintegração no trabalho, com resolução de mérito conforme Art. 487, inciso I, do CPC. </w:t>
      </w:r>
    </w:p>
    <w:p w:rsidR="00000000" w:rsidDel="00000000" w:rsidP="00000000" w:rsidRDefault="00000000" w:rsidRPr="00000000" w14:paraId="0000004E">
      <w:pPr>
        <w:ind w:left="1440" w:firstLine="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440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Haverá resolução de mérito quando o juiz: I - acolher ou rejeitar o pedido formulado na ação ou na reconvenção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50">
      <w:pP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Subtitle"/>
        <w:rPr/>
      </w:pPr>
      <w:bookmarkStart w:colFirst="0" w:colLast="0" w:name="_z2zhkytp1tf9" w:id="10"/>
      <w:bookmarkEnd w:id="10"/>
      <w:r w:rsidDel="00000000" w:rsidR="00000000" w:rsidRPr="00000000">
        <w:rPr>
          <w:rtl w:val="0"/>
        </w:rPr>
        <w:t xml:space="preserve">Sobrejornada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O RECLAMANTE,  trabalhava de 2ª a 6ª feira, das 7h às 14h, com intervalo de uma hora para refeição, dentro da carga horária estabelecida legalmente para categoria. O fato de que, em algumas situações, as atividades foram realizadas em home-office, não importa em acréscimo de horas trabalhadas, portanto, não assiste direito a ser requerido neste caso.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Assim, não assiste direito ao RECLAMANTE, uma vez que os fundamentos do pedido não incidem sobre os direitos trazidos pela Constituição Federal,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7º XIII CF e Art 58 CLT. Dessa forma, pede-se à Vossa EXCELÊNCIA a </w:t>
      </w:r>
      <w:r w:rsidDel="00000000" w:rsidR="00000000" w:rsidRPr="00000000">
        <w:rPr>
          <w:sz w:val="24"/>
          <w:szCs w:val="24"/>
          <w:rtl w:val="0"/>
        </w:rPr>
        <w:t xml:space="preserve">resolução do mérito, nos moldes do Art. 487, inciso I do CPC.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Subtitle"/>
        <w:rPr/>
      </w:pPr>
      <w:bookmarkStart w:colFirst="0" w:colLast="0" w:name="_lv4yndjal0rv" w:id="11"/>
      <w:bookmarkEnd w:id="11"/>
      <w:r w:rsidDel="00000000" w:rsidR="00000000" w:rsidRPr="00000000">
        <w:rPr>
          <w:rtl w:val="0"/>
        </w:rPr>
        <w:t xml:space="preserve">Ticket-alimentação</w:t>
      </w:r>
    </w:p>
    <w:p w:rsidR="00000000" w:rsidDel="00000000" w:rsidP="00000000" w:rsidRDefault="00000000" w:rsidRPr="00000000" w14:paraId="00000059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Não há que se falar, pois o acordo coletivo ao qual se refere diz respeito aos bancários, conforme está previsto no Art. 611, §1º da CLT. </w:t>
      </w:r>
    </w:p>
    <w:p w:rsidR="00000000" w:rsidDel="00000000" w:rsidP="00000000" w:rsidRDefault="00000000" w:rsidRPr="00000000" w14:paraId="0000005A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empregador de casa lotérica não participa do respectivo acordo. Dessa forma, não assiste direito ao benefício o RECLAMANTE.</w:t>
      </w:r>
    </w:p>
    <w:p w:rsidR="00000000" w:rsidDel="00000000" w:rsidP="00000000" w:rsidRDefault="00000000" w:rsidRPr="00000000" w14:paraId="0000005C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Diante dessa situação, pede-se a </w:t>
      </w:r>
      <w:r w:rsidDel="00000000" w:rsidR="00000000" w:rsidRPr="00000000">
        <w:rPr>
          <w:sz w:val="24"/>
          <w:szCs w:val="24"/>
          <w:rtl w:val="0"/>
        </w:rPr>
        <w:t xml:space="preserve">Vossa EXCELÊNCIA, o indeferimento do pedido formulado sem qualquer fundamento de causa, bem como a resolução do mérito, nos moldes do Art. 487, inciso I do CPC.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Subtitle"/>
        <w:rPr/>
      </w:pPr>
      <w:bookmarkStart w:colFirst="0" w:colLast="0" w:name="_lxngzfqcatxq" w:id="12"/>
      <w:bookmarkEnd w:id="12"/>
      <w:r w:rsidDel="00000000" w:rsidR="00000000" w:rsidRPr="00000000">
        <w:rPr>
          <w:rtl w:val="0"/>
        </w:rPr>
        <w:t xml:space="preserve">Vale Transporte</w:t>
      </w:r>
    </w:p>
    <w:p w:rsidR="00000000" w:rsidDel="00000000" w:rsidP="00000000" w:rsidRDefault="00000000" w:rsidRPr="00000000" w14:paraId="00000061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Benefício do Vale Transporte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somente é devido nos dias em que haja o deslocamento do empregado até o local onde será exercidas as atividades laborais, conforme está previsto em Lei 7418/85:</w:t>
      </w:r>
    </w:p>
    <w:p w:rsidR="00000000" w:rsidDel="00000000" w:rsidP="00000000" w:rsidRDefault="00000000" w:rsidRPr="00000000" w14:paraId="00000062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1440"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Art. 1º Fica instituído o vale-transporte, </w:t>
      </w:r>
      <w:hyperlink r:id="rId9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(Vetado)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que o empregador, pessoa física ou jurídica, antecipará ao empregado para utilização efetiva em despesas de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deslocamento residência-trabalho e vice-versa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através do sistema de transporte coletivo público, urbano ou intermunicipal e/ou interestadual com características semelhantes aos urbanos, geridos diretamente ou mediante concessão ou permissão de linhas regulares e com tarifas fixadas pela autoridade competente, excluídos os serviços seletivos e os especiais.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  <w:tab/>
        <w:t xml:space="preserve">e Art. 2º do Decreto 95.247/87:</w:t>
      </w:r>
    </w:p>
    <w:p w:rsidR="00000000" w:rsidDel="00000000" w:rsidP="00000000" w:rsidRDefault="00000000" w:rsidRPr="00000000" w14:paraId="00000066">
      <w:pPr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440"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Art. 2° O Vale-Transporte constitui benefício que o empregador antecipará ao trabalhador para utilização efetiva em despesas de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deslocamento residência-trabalho e vice-versa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ab/>
        <w:t xml:space="preserve">Sendo assim, não há em que se falar em Vale Transporte. Dessa forma, pede-se a </w:t>
      </w:r>
      <w:r w:rsidDel="00000000" w:rsidR="00000000" w:rsidRPr="00000000">
        <w:rPr>
          <w:sz w:val="24"/>
          <w:szCs w:val="24"/>
          <w:rtl w:val="0"/>
        </w:rPr>
        <w:t xml:space="preserve">Vossa EXCELÊNCIA, o indeferimento do pedido formulado sem qualquer fundamento de causa, bem como a resolução do mérito, nos moldes do Art. 487, inciso I do CPC.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Subtitle"/>
        <w:rPr/>
      </w:pPr>
      <w:bookmarkStart w:colFirst="0" w:colLast="0" w:name="_b7n4f4pmmt1z" w:id="13"/>
      <w:bookmarkEnd w:id="13"/>
      <w:r w:rsidDel="00000000" w:rsidR="00000000" w:rsidRPr="00000000">
        <w:rPr>
          <w:rtl w:val="0"/>
        </w:rPr>
        <w:t xml:space="preserve">Vale Cultura</w:t>
      </w:r>
    </w:p>
    <w:p w:rsidR="00000000" w:rsidDel="00000000" w:rsidP="00000000" w:rsidRDefault="00000000" w:rsidRPr="00000000" w14:paraId="0000006D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integração do Vale Cultura às verbas salariais é indevida por expressa disposição legal, conforme determinado pelo Art. 458, </w:t>
      </w:r>
      <w:r w:rsidDel="00000000" w:rsidR="00000000" w:rsidRPr="00000000">
        <w:rPr>
          <w:highlight w:val="white"/>
          <w:rtl w:val="0"/>
        </w:rPr>
        <w:t xml:space="preserve">§ 2 da CLT: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1440"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§ 2</w:t>
      </w:r>
      <w:r w:rsidDel="00000000" w:rsidR="00000000" w:rsidRPr="00000000">
        <w:rPr>
          <w:highlight w:val="white"/>
          <w:u w:val="single"/>
          <w:vertAlign w:val="superscript"/>
          <w:rtl w:val="0"/>
        </w:rPr>
        <w:t xml:space="preserve">o</w:t>
      </w:r>
      <w:r w:rsidDel="00000000" w:rsidR="00000000" w:rsidRPr="00000000">
        <w:rPr>
          <w:highlight w:val="white"/>
          <w:rtl w:val="0"/>
        </w:rPr>
        <w:t xml:space="preserve"> Para os efeitos previstos neste artigo, não serão consideradas como salário as seguintes utilidades concedidas pelo empregador: VIII - o valor correspondente ao vale-cultura.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Por, desconsideração do respectivo benefício como verba salarial, conforme previsto em Legislação Vigente, pede-se a </w:t>
      </w:r>
      <w:r w:rsidDel="00000000" w:rsidR="00000000" w:rsidRPr="00000000">
        <w:rPr>
          <w:sz w:val="24"/>
          <w:szCs w:val="24"/>
          <w:rtl w:val="0"/>
        </w:rPr>
        <w:t xml:space="preserve">Vossa EXCELÊNCIA, o indeferimento do pedido do RECLAMANTE, bem como a resolução do mérito, nos moldes do Art. 487, inciso I do CPC.</w:t>
      </w:r>
    </w:p>
    <w:p w:rsidR="00000000" w:rsidDel="00000000" w:rsidP="00000000" w:rsidRDefault="00000000" w:rsidRPr="00000000" w14:paraId="00000072">
      <w:pPr>
        <w:pStyle w:val="Subtitle"/>
        <w:ind w:left="0" w:firstLine="0"/>
        <w:rPr/>
      </w:pPr>
      <w:bookmarkStart w:colFirst="0" w:colLast="0" w:name="_85ru869ke6tn" w:id="14"/>
      <w:bookmarkEnd w:id="14"/>
      <w:r w:rsidDel="00000000" w:rsidR="00000000" w:rsidRPr="00000000">
        <w:rPr>
          <w:rtl w:val="0"/>
        </w:rPr>
        <w:t xml:space="preserve">Requerimentos Finais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produção de todos os meios de provas em direito admitidos, em especial a prova documental, o depoimento pessoal e a oitiva de testemunhas;</w:t>
      </w:r>
    </w:p>
    <w:p w:rsidR="00000000" w:rsidDel="00000000" w:rsidP="00000000" w:rsidRDefault="00000000" w:rsidRPr="00000000" w14:paraId="0000007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 acolhimento da Preliminar para Inépcia da Inicial;</w:t>
      </w:r>
    </w:p>
    <w:p w:rsidR="00000000" w:rsidDel="00000000" w:rsidP="00000000" w:rsidRDefault="00000000" w:rsidRPr="00000000" w14:paraId="0000007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 Acolhimento da Prejudicial de Mérito para Prescrição Quinquenal;</w:t>
      </w:r>
    </w:p>
    <w:p w:rsidR="00000000" w:rsidDel="00000000" w:rsidP="00000000" w:rsidRDefault="00000000" w:rsidRPr="00000000" w14:paraId="0000007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improcedência dos pedidos formulados pelo RECLAMANTE, com a Resolução de Mérito, bem como a sua condenação ao pagamento de custas processuais e honorários advocatícios sucumbenciais, nos moldes do Art. 791-A da CLT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Termos em que pede deferimento.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Local / Data</w:t>
      </w:r>
    </w:p>
    <w:p w:rsidR="00000000" w:rsidDel="00000000" w:rsidP="00000000" w:rsidRDefault="00000000" w:rsidRPr="00000000" w14:paraId="0000008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Advogado (Marcos Rodrigues)</w:t>
      </w:r>
    </w:p>
    <w:p w:rsidR="00000000" w:rsidDel="00000000" w:rsidP="00000000" w:rsidRDefault="00000000" w:rsidRPr="00000000" w14:paraId="0000008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OAB nº 0000/000</w:t>
      </w:r>
    </w:p>
    <w:p w:rsidR="00000000" w:rsidDel="00000000" w:rsidP="00000000" w:rsidRDefault="00000000" w:rsidRPr="00000000" w14:paraId="0000008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lanalto.gov.br/CCIVIL_03/LEIS/Mensagem_Veto/Mv326-87.htm" TargetMode="External"/><Relationship Id="rId5" Type="http://schemas.openxmlformats.org/officeDocument/2006/relationships/styles" Target="styles.xml"/><Relationship Id="rId6" Type="http://schemas.openxmlformats.org/officeDocument/2006/relationships/hyperlink" Target="mailto:rica@administracao.com" TargetMode="External"/><Relationship Id="rId7" Type="http://schemas.openxmlformats.org/officeDocument/2006/relationships/hyperlink" Target="mailto:sacupira@gmail.com" TargetMode="External"/><Relationship Id="rId8" Type="http://schemas.openxmlformats.org/officeDocument/2006/relationships/hyperlink" Target="mailto:js@pedre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